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F0D" w:rsidRDefault="002C4F0D" w:rsidP="002C4F0D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Информация</w:t>
      </w:r>
    </w:p>
    <w:p w:rsidR="002C4F0D" w:rsidRDefault="002C4F0D" w:rsidP="002C4F0D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«Об организации первичного воинского учета граждан на территории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Скворчихинский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сельсовет»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Организация первичного воинского учета граждан на территории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Скворчихинский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 осуществляется в соответствии 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Конституцией Российской Федерации, Федеральными законами от 1996 года           № 61-ФЗ "Об обороне",  от 1997 года № 31 -ФЗ "О мобилизационной под-готовке и мобилизации в Российской Федерации",  от 1998 года № 53-ФЗ "О воинской обязанности и военной службе", постановлением Правительства Российской Федерации от 27 ноября 2006 г. № 719 "Об утверждении Положения о воинском учете", методическими рекомендациями по организации и осуществлению первичного воинского учета граждан Российской Федерации  в органах местного самоуправлении.</w:t>
      </w:r>
    </w:p>
    <w:p w:rsidR="002C4F0D" w:rsidRDefault="002C4F0D" w:rsidP="002C4F0D">
      <w:pPr>
        <w:shd w:val="clear" w:color="auto" w:fill="FFFFFF"/>
        <w:tabs>
          <w:tab w:val="left" w:pos="720"/>
        </w:tabs>
        <w:spacing w:line="240" w:lineRule="auto"/>
        <w:ind w:left="29" w:firstLine="51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Основной целью воинского учета является обеспечение полного и </w:t>
      </w:r>
      <w:r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ru-RU"/>
        </w:rPr>
        <w:t xml:space="preserve">качественного укомплектования призывными людскими ресурсами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Вооруженных Сил Российской Федерации, других войск, воинских </w:t>
      </w:r>
      <w:r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  <w:t xml:space="preserve">формирований и органов в мирное время, а также обеспечение в периоды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мобилизации, военного положения и в военное время:</w:t>
      </w:r>
    </w:p>
    <w:p w:rsidR="002C4F0D" w:rsidRDefault="002C4F0D" w:rsidP="002C4F0D">
      <w:pPr>
        <w:shd w:val="clear" w:color="auto" w:fill="FFFFFF"/>
        <w:tabs>
          <w:tab w:val="left" w:pos="816"/>
        </w:tabs>
        <w:spacing w:after="0" w:line="240" w:lineRule="auto"/>
        <w:ind w:left="53" w:firstLine="49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-9"/>
          <w:sz w:val="26"/>
          <w:szCs w:val="26"/>
          <w:lang w:eastAsia="ru-RU"/>
        </w:rPr>
        <w:t>а)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proofErr w:type="gramEnd"/>
      <w:r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  <w:t xml:space="preserve">потребностей Вооруженных Сил Российской Федерации, других войск, воинских формирований, органов и специальных формирований 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мобилизационных людских ресурсах путем заблаговременной приписки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(предназначения) граждан, пребывающих в запасе, в их состав;</w:t>
      </w:r>
    </w:p>
    <w:p w:rsidR="002C4F0D" w:rsidRDefault="002C4F0D" w:rsidP="002C4F0D">
      <w:pPr>
        <w:shd w:val="clear" w:color="auto" w:fill="FFFFFF"/>
        <w:tabs>
          <w:tab w:val="left" w:pos="816"/>
        </w:tabs>
        <w:spacing w:after="0" w:line="240" w:lineRule="auto"/>
        <w:ind w:left="53" w:firstLine="49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-7"/>
          <w:sz w:val="26"/>
          <w:szCs w:val="26"/>
          <w:lang w:eastAsia="ru-RU"/>
        </w:rPr>
        <w:t>б)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proofErr w:type="gramEnd"/>
      <w:r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потребностей органов государственной власти, органов местного </w:t>
      </w:r>
      <w:r>
        <w:rPr>
          <w:rFonts w:ascii="Times New Roman" w:eastAsia="Times New Roman" w:hAnsi="Times New Roman"/>
          <w:color w:val="000000"/>
          <w:spacing w:val="5"/>
          <w:sz w:val="26"/>
          <w:szCs w:val="26"/>
          <w:lang w:eastAsia="ru-RU"/>
        </w:rPr>
        <w:t xml:space="preserve">самоуправления и организаций в трудовых ресурсах путем закрепления </w:t>
      </w:r>
      <w:r>
        <w:rPr>
          <w:rFonts w:ascii="Times New Roman" w:eastAsia="Times New Roman" w:hAnsi="Times New Roman"/>
          <w:color w:val="000000"/>
          <w:spacing w:val="1"/>
          <w:sz w:val="26"/>
          <w:szCs w:val="26"/>
          <w:lang w:eastAsia="ru-RU"/>
        </w:rPr>
        <w:t xml:space="preserve">(бронирования) за ними необходимого количества руководителей 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специалистов из числа граждан, пребывающих в запасе, работающих в этих </w:t>
      </w:r>
      <w:r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  <w:t>органах и организациях.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Основными задачами воинского учета являются: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обеспечение исполнения гражданами воинской обязанности, установленной законодательством Российской Федерации; 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>документальное оформление сведений воинского учета о гражданах, состоящих на воинском учете;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>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г)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 в период  мобилизации  и поддержание их укомплектованности на требуемом уровне в военное время.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Основным требованием, предъявляемым к системе воинского учета, является 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Воинскому учету в органах местного самоуправления подлежат: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а)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>граждане мужского пола в возрасте от 18 до 27 лет, обязанные состоять   на   воинском учете и не пребывающие в запасе (далее  призывники);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>граждане, пребывающие в запасе (далее - военнообязанные):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мужского пола, пребывающие в запасе;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уволенные с военной службы с зачислением в запас Вооруженных Сил Российской Федерации;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успешно завершившие обучение по программе подготовки офицеров запаса на военных кафедрах при государственных, муниципальных или имеющих государственную аккредитацию по соответствующим направлениям подготовки (специальностям) негосударственных образовательных учреждениях высшего профессионального образования и окончившие указанные образовательные учреждения;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прошедшие военную службу в связи с освобождением от призыва на военную службу;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прошедшие военную службу в связи с предоставлением отсрочек от призыва на военную службу или не призванные на военную службу по каким-либо другим причинам, по достижении ими возраста 27 лет;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уволенные с военной службы без постановки на воинский учет и в последующем поставленные на воинский учет в военных комиссариатах;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прошедшие альтернативную гражданскую службу;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женского пола, имеющие военно-учетные специальности согласно приложению № 2.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Не подлежат воинскому учету в органах местного самоуправления граждане: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>освобожденные от исполнения воинской обязанности в соответствии с Федеральным законом «О воинской обязанности и военной службе»;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>проходящие военную службу или альтернативную гражданскую службу;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>отбывающие наказание в виде лишения свободы;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г)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>женского пола, не имеющие военно-учетной специальности;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д)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>постоянно проживающие за пределами Российской Федерации;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е)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>имеющие воинские звания офицеров  и пребывающие  в запасе Службы внешней разведки Российской Федерации и Федеральной службы безопасности Российской Федерации.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Воинский учет военнообязанных подразделяется на общий и специальный.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специальном воинском учете состоят военнообязанные, которые в установленном порядке бронируются за органами государственной власти, органами местного самоуправления или организациями на периоды мобилизации, военного положения и в военное время, а также проходящие службу в органах внутренних дел, Государственной противопожарной службе, учреждениях и органах уголовно-исполнительной системы, органах по контролю за оборотом наркотических средств и психотропных веществ на должностях рядового и начальствующего состава.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Остальные военнообязанные состоят на общем воинском учете.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Первичный  воинский</w:t>
      </w:r>
      <w:proofErr w:type="gramEnd"/>
      <w:r>
        <w:rPr>
          <w:rFonts w:ascii="Times New Roman" w:hAnsi="Times New Roman"/>
          <w:sz w:val="26"/>
          <w:szCs w:val="26"/>
        </w:rPr>
        <w:t xml:space="preserve"> учет органами местного самоуправления осуществляется по документам первичного воинского учета: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 xml:space="preserve">для призывников по учетным  картам призывников 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 xml:space="preserve">для прапорщиков, мичманов, старшин, сержантов, солдат и матросов запаса по алфавитным карточкам и учетным карточкам 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 xml:space="preserve">для офицеров запаса по карточкам первичного учета </w:t>
      </w:r>
    </w:p>
    <w:p w:rsidR="002C4F0D" w:rsidRDefault="002C4F0D" w:rsidP="002C4F0D">
      <w:pPr>
        <w:shd w:val="clear" w:color="auto" w:fill="FFFFFF"/>
        <w:tabs>
          <w:tab w:val="left" w:pos="792"/>
          <w:tab w:val="left" w:pos="5865"/>
        </w:tabs>
        <w:spacing w:before="227" w:after="0" w:line="240" w:lineRule="auto"/>
        <w:ind w:left="55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Всего на первичном воинском учете состоит: 212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ab/>
        <w:t xml:space="preserve"> граждан:</w:t>
      </w:r>
    </w:p>
    <w:p w:rsidR="002C4F0D" w:rsidRDefault="002C4F0D" w:rsidP="002C4F0D">
      <w:pPr>
        <w:shd w:val="clear" w:color="auto" w:fill="FFFFFF"/>
        <w:tabs>
          <w:tab w:val="left" w:leader="underscore" w:pos="1030"/>
        </w:tabs>
        <w:spacing w:after="0" w:line="240" w:lineRule="auto"/>
        <w:ind w:left="52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11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граждан, подлежащих первоначальной постановке на воинский учет;</w:t>
      </w:r>
    </w:p>
    <w:p w:rsidR="002C4F0D" w:rsidRDefault="002C4F0D" w:rsidP="002C4F0D">
      <w:pPr>
        <w:shd w:val="clear" w:color="auto" w:fill="FFFFFF"/>
        <w:tabs>
          <w:tab w:val="left" w:leader="underscore" w:pos="1030"/>
        </w:tabs>
        <w:spacing w:after="0" w:line="240" w:lineRule="auto"/>
        <w:ind w:left="52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5 </w:t>
      </w:r>
      <w:r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  <w:t>офицеров запаса;</w:t>
      </w:r>
    </w:p>
    <w:p w:rsidR="002C4F0D" w:rsidRDefault="002C4F0D" w:rsidP="002C4F0D">
      <w:pPr>
        <w:shd w:val="clear" w:color="auto" w:fill="FFFFFF"/>
        <w:tabs>
          <w:tab w:val="left" w:leader="underscore" w:pos="1030"/>
        </w:tabs>
        <w:spacing w:after="0" w:line="240" w:lineRule="auto"/>
        <w:ind w:left="5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196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прапорщиков, мичманов, сержантов, старшин, солдат и матросов запаса</w:t>
      </w:r>
    </w:p>
    <w:p w:rsidR="002C4F0D" w:rsidRDefault="002C4F0D" w:rsidP="002C4F0D">
      <w:pPr>
        <w:shd w:val="clear" w:color="auto" w:fill="FFFFFF"/>
        <w:spacing w:after="0" w:line="240" w:lineRule="auto"/>
        <w:ind w:right="5242"/>
        <w:jc w:val="both"/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ru-RU"/>
        </w:rPr>
        <w:t>уменьшилось  на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ru-RU"/>
        </w:rPr>
        <w:t xml:space="preserve"> 8 человек</w:t>
      </w:r>
    </w:p>
    <w:p w:rsidR="002C4F0D" w:rsidRDefault="002C4F0D" w:rsidP="002C4F0D">
      <w:pPr>
        <w:shd w:val="clear" w:color="auto" w:fill="FFFFFF"/>
        <w:spacing w:after="0" w:line="240" w:lineRule="auto"/>
        <w:ind w:left="536" w:right="5242" w:firstLine="44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pacing w:val="-4"/>
          <w:sz w:val="26"/>
          <w:szCs w:val="26"/>
          <w:lang w:eastAsia="ru-RU"/>
        </w:rPr>
        <w:t>Из них:</w:t>
      </w:r>
    </w:p>
    <w:p w:rsidR="002C4F0D" w:rsidRDefault="002C4F0D" w:rsidP="002C4F0D">
      <w:pPr>
        <w:widowControl w:val="0"/>
        <w:numPr>
          <w:ilvl w:val="0"/>
          <w:numId w:val="1"/>
        </w:numPr>
        <w:shd w:val="clear" w:color="auto" w:fill="FFFFFF"/>
        <w:tabs>
          <w:tab w:val="left" w:pos="1519"/>
          <w:tab w:val="left" w:leader="underscore" w:pos="4525"/>
          <w:tab w:val="left" w:leader="underscore" w:pos="84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на общем воинском учете состоит 205 </w:t>
      </w:r>
      <w:r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ru-RU"/>
        </w:rPr>
        <w:t>человек, уменьшилось на 9 ч</w:t>
      </w:r>
      <w:r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еловек;</w:t>
      </w:r>
    </w:p>
    <w:p w:rsidR="002C4F0D" w:rsidRDefault="002C4F0D" w:rsidP="002C4F0D">
      <w:pPr>
        <w:widowControl w:val="0"/>
        <w:numPr>
          <w:ilvl w:val="0"/>
          <w:numId w:val="1"/>
        </w:numPr>
        <w:shd w:val="clear" w:color="auto" w:fill="FFFFFF"/>
        <w:tabs>
          <w:tab w:val="left" w:pos="1519"/>
          <w:tab w:val="left" w:leader="underscore" w:pos="5058"/>
          <w:tab w:val="left" w:leader="underscore" w:pos="8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  <w:t>на специальном воинском учете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1 </w:t>
      </w:r>
      <w:r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ru-RU"/>
        </w:rPr>
        <w:t>человек (на уровне)</w:t>
      </w:r>
      <w:r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  <w:t>;</w:t>
      </w:r>
    </w:p>
    <w:p w:rsidR="002C4F0D" w:rsidRDefault="002C4F0D" w:rsidP="002C4F0D">
      <w:pPr>
        <w:widowControl w:val="0"/>
        <w:shd w:val="clear" w:color="auto" w:fill="FFFFFF"/>
        <w:tabs>
          <w:tab w:val="left" w:pos="1519"/>
          <w:tab w:val="left" w:leader="underscore" w:pos="6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 xml:space="preserve">- в том числе - забронировано в персональном порядке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>4 человека (увеличилось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уменьшилось) на 3_ человека.</w:t>
      </w:r>
    </w:p>
    <w:p w:rsidR="002C4F0D" w:rsidRDefault="002C4F0D" w:rsidP="002C4F0D">
      <w:pPr>
        <w:shd w:val="clear" w:color="auto" w:fill="FFFFFF"/>
        <w:tabs>
          <w:tab w:val="left" w:leader="underscore" w:pos="4104"/>
          <w:tab w:val="left" w:leader="underscore" w:pos="5922"/>
        </w:tabs>
        <w:spacing w:before="4" w:after="0" w:line="240" w:lineRule="auto"/>
        <w:ind w:left="5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  <w:t xml:space="preserve">Движение учитываемых ресурсов в    2016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году составило 23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6"/>
          <w:szCs w:val="26"/>
          <w:lang w:eastAsia="ru-RU"/>
        </w:rPr>
        <w:t>человека.</w:t>
      </w:r>
    </w:p>
    <w:p w:rsidR="002C4F0D" w:rsidRDefault="002C4F0D" w:rsidP="002C4F0D">
      <w:pPr>
        <w:shd w:val="clear" w:color="auto" w:fill="FFFFFF"/>
        <w:spacing w:after="0" w:line="240" w:lineRule="auto"/>
        <w:ind w:left="5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  <w:t>Из них:</w:t>
      </w:r>
    </w:p>
    <w:p w:rsidR="002C4F0D" w:rsidRDefault="002C4F0D" w:rsidP="002C4F0D">
      <w:pPr>
        <w:widowControl w:val="0"/>
        <w:numPr>
          <w:ilvl w:val="0"/>
          <w:numId w:val="2"/>
        </w:numPr>
        <w:shd w:val="clear" w:color="auto" w:fill="FFFFFF"/>
        <w:tabs>
          <w:tab w:val="left" w:pos="637"/>
          <w:tab w:val="left" w:leader="underscore" w:pos="1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убыло - 13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6"/>
          <w:szCs w:val="26"/>
          <w:lang w:eastAsia="ru-RU"/>
        </w:rPr>
        <w:t>человек;</w:t>
      </w:r>
    </w:p>
    <w:p w:rsidR="002C4F0D" w:rsidRDefault="002C4F0D" w:rsidP="002C4F0D">
      <w:pPr>
        <w:widowControl w:val="0"/>
        <w:numPr>
          <w:ilvl w:val="0"/>
          <w:numId w:val="2"/>
        </w:numPr>
        <w:shd w:val="clear" w:color="auto" w:fill="FFFFFF"/>
        <w:tabs>
          <w:tab w:val="left" w:pos="637"/>
          <w:tab w:val="left" w:leader="underscore" w:pos="2135"/>
          <w:tab w:val="left" w:leader="underscore" w:pos="4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  <w:t>прибыло 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10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человек, в том числе 2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человека, уволенных из Вооруженных Сил Российской Федерации.</w:t>
      </w:r>
    </w:p>
    <w:p w:rsidR="002C4F0D" w:rsidRDefault="002C4F0D" w:rsidP="002C4F0D">
      <w:pPr>
        <w:widowControl w:val="0"/>
        <w:shd w:val="clear" w:color="auto" w:fill="FFFFFF"/>
        <w:tabs>
          <w:tab w:val="left" w:pos="637"/>
          <w:tab w:val="left" w:leader="underscore" w:pos="2135"/>
          <w:tab w:val="left" w:leader="underscore" w:pos="4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    В период с 10.01.2016 года по 15.01.2016 года произведена сверка домовых,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похозяйственных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книг с документами воинского учета сельского поселения.</w:t>
      </w:r>
    </w:p>
    <w:p w:rsidR="002C4F0D" w:rsidRDefault="002C4F0D" w:rsidP="002C4F0D">
      <w:pPr>
        <w:widowControl w:val="0"/>
        <w:shd w:val="clear" w:color="auto" w:fill="FFFFFF"/>
        <w:tabs>
          <w:tab w:val="left" w:pos="637"/>
          <w:tab w:val="left" w:leader="underscore" w:pos="2135"/>
          <w:tab w:val="left" w:leader="underscore" w:pos="4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    08.02.2016 года произведена сверка с карточками Т-2 организаций, осуществляющих воинский учет работающих граждан.</w:t>
      </w:r>
    </w:p>
    <w:p w:rsidR="002C4F0D" w:rsidRDefault="002C4F0D" w:rsidP="002C4F0D">
      <w:pPr>
        <w:widowControl w:val="0"/>
        <w:shd w:val="clear" w:color="auto" w:fill="FFFFFF"/>
        <w:tabs>
          <w:tab w:val="left" w:pos="637"/>
          <w:tab w:val="left" w:leader="underscore" w:pos="2135"/>
          <w:tab w:val="left" w:leader="underscore" w:pos="4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    Своевременно вносились изменения в документы воинского учета сельского поселения и в 2-х недельный срок предоставлялись сведения в отдел военного комиссариата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г.Ишимбай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.</w:t>
      </w:r>
    </w:p>
    <w:p w:rsidR="002C4F0D" w:rsidRDefault="002C4F0D" w:rsidP="002C4F0D">
      <w:pPr>
        <w:widowControl w:val="0"/>
        <w:shd w:val="clear" w:color="auto" w:fill="FFFFFF"/>
        <w:tabs>
          <w:tab w:val="left" w:pos="637"/>
          <w:tab w:val="left" w:leader="underscore" w:pos="2135"/>
          <w:tab w:val="left" w:leader="underscore" w:pos="4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    Разъяснялось должностным лицам организаций и гражданам обязанности по воинскому учету, мобилизационной подготовке и мобилизации, установленные законодательством Российской Федерации, а также информировали об ответственности за неисполнение указанных обязанностей. В 2016 году не обнаружено случаев неисполнения гражданами обязанностей по воинскому учету, мобилизационной подготовке и мобилизации.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В соответствии с планом мероприятий в ноябре 2016 года участвовали в смотре-конкурсе на лучшую организацию воинского учета и бронирования граждан, пребывающих в запасе среди органов местного самоуправления. Заняли 2 место. </w:t>
      </w:r>
    </w:p>
    <w:p w:rsidR="002C4F0D" w:rsidRDefault="002C4F0D" w:rsidP="002C4F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осуществления полномочий по первичному воинскому учету за 2016 год поступили денежные субвенции в сумме 73580. Денежные средства освоены полностью, отчеты сдаются ежеквартально, своевременно.</w:t>
      </w:r>
    </w:p>
    <w:p w:rsidR="00D90F36" w:rsidRDefault="00D90F36"/>
    <w:sectPr w:rsidR="00D90F36" w:rsidSect="002C4F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204E9B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8F"/>
    <w:rsid w:val="002C4F0D"/>
    <w:rsid w:val="00A73B8F"/>
    <w:rsid w:val="00D9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A6BFE8-5C22-4DE4-92C2-8D9D1B65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0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6431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2017-05-03T08:25:00Z</dcterms:created>
  <dcterms:modified xsi:type="dcterms:W3CDTF">2017-05-03T08:25:00Z</dcterms:modified>
</cp:coreProperties>
</file>